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BF" w:rsidRPr="00CA44BF" w:rsidRDefault="00E4743B" w:rsidP="00CA44BF">
      <w:pPr>
        <w:spacing w:after="120"/>
        <w:jc w:val="both"/>
        <w:rPr>
          <w:rFonts w:ascii="Verdana" w:eastAsia="Verdana" w:hAnsi="Verdana" w:cs="Verdana"/>
          <w:b/>
          <w:color w:val="000000"/>
          <w:sz w:val="20"/>
          <w:lang w:eastAsia="es-ES"/>
        </w:rPr>
      </w:pPr>
      <w:r>
        <w:rPr>
          <w:rFonts w:ascii="Verdana" w:eastAsia="Verdana" w:hAnsi="Verdana" w:cs="Verdana"/>
          <w:b/>
          <w:color w:val="000000"/>
          <w:sz w:val="20"/>
          <w:lang w:eastAsia="es-ES"/>
        </w:rPr>
        <w:t>Expediente núm.</w:t>
      </w:r>
      <w:r w:rsidR="00CA44BF" w:rsidRPr="00CA44BF">
        <w:rPr>
          <w:rFonts w:ascii="Verdana" w:eastAsia="Verdana" w:hAnsi="Verdana" w:cs="Verdana"/>
          <w:b/>
          <w:color w:val="000000"/>
          <w:sz w:val="20"/>
          <w:lang w:eastAsia="es-ES"/>
        </w:rPr>
        <w:t xml:space="preserve">: </w:t>
      </w:r>
    </w:p>
    <w:p w:rsidR="00CA44BF" w:rsidRPr="00CA44BF" w:rsidRDefault="00CA44BF" w:rsidP="00CA44BF">
      <w:pPr>
        <w:spacing w:after="120"/>
        <w:jc w:val="both"/>
        <w:rPr>
          <w:rFonts w:ascii="Verdana" w:eastAsia="Verdana" w:hAnsi="Verdana" w:cs="Verdana"/>
          <w:b/>
          <w:color w:val="000000"/>
          <w:sz w:val="20"/>
          <w:lang w:eastAsia="es-ES"/>
        </w:rPr>
      </w:pPr>
      <w:r w:rsidRPr="00CA44BF">
        <w:rPr>
          <w:rFonts w:ascii="Verdana" w:eastAsia="Verdana" w:hAnsi="Verdana" w:cs="Verdana"/>
          <w:b/>
          <w:color w:val="000000"/>
          <w:sz w:val="20"/>
          <w:lang w:eastAsia="es-ES"/>
        </w:rPr>
        <w:t>Informe de Secretaría</w:t>
      </w:r>
      <w:r w:rsidR="006C0EA8">
        <w:rPr>
          <w:rFonts w:ascii="Verdana" w:eastAsia="Verdana" w:hAnsi="Verdana" w:cs="Verdana"/>
          <w:b/>
          <w:color w:val="000000"/>
          <w:sz w:val="20"/>
          <w:lang w:eastAsia="es-ES"/>
        </w:rPr>
        <w:t>-Intervención</w:t>
      </w:r>
    </w:p>
    <w:p w:rsidR="00CA44BF" w:rsidRPr="00CA44BF" w:rsidRDefault="00CA44BF" w:rsidP="00CA44BF">
      <w:pPr>
        <w:spacing w:after="120"/>
        <w:jc w:val="both"/>
        <w:rPr>
          <w:rFonts w:ascii="Verdana" w:eastAsia="Verdana" w:hAnsi="Verdana" w:cs="Verdana"/>
          <w:color w:val="000000"/>
          <w:sz w:val="20"/>
          <w:lang w:eastAsia="es-ES"/>
        </w:rPr>
      </w:pPr>
      <w:r w:rsidRPr="00CA44BF">
        <w:rPr>
          <w:rFonts w:ascii="Verdana" w:eastAsia="Verdana" w:hAnsi="Verdana" w:cs="Verdana"/>
          <w:b/>
          <w:color w:val="000000"/>
          <w:sz w:val="20"/>
          <w:lang w:eastAsia="es-ES"/>
        </w:rPr>
        <w:t xml:space="preserve">Procedemento: </w:t>
      </w:r>
      <w:r w:rsidRPr="00CA44BF">
        <w:rPr>
          <w:rFonts w:ascii="Verdana" w:eastAsia="Verdana" w:hAnsi="Verdana" w:cs="Verdana"/>
          <w:color w:val="000000"/>
          <w:sz w:val="20"/>
          <w:szCs w:val="20"/>
          <w:lang w:eastAsia="es-ES"/>
        </w:rPr>
        <w:t>Aprobación do réxime de control interno</w:t>
      </w:r>
    </w:p>
    <w:p w:rsidR="00CA44BF" w:rsidRPr="006C0EA8" w:rsidRDefault="00CA44BF" w:rsidP="00CA44BF">
      <w:pPr>
        <w:spacing w:after="120"/>
        <w:jc w:val="both"/>
        <w:rPr>
          <w:rFonts w:ascii="Verdana" w:eastAsia="Verdana" w:hAnsi="Verdana" w:cs="Verdana"/>
          <w:b/>
          <w:color w:val="000000"/>
          <w:sz w:val="20"/>
          <w:lang w:eastAsia="es-ES"/>
        </w:rPr>
      </w:pPr>
      <w:r w:rsidRPr="00CA44BF">
        <w:rPr>
          <w:rFonts w:ascii="Verdana" w:eastAsia="Verdana" w:hAnsi="Verdana" w:cs="Verdana"/>
          <w:b/>
          <w:color w:val="000000"/>
          <w:sz w:val="20"/>
          <w:lang w:eastAsia="es-ES"/>
        </w:rPr>
        <w:t xml:space="preserve">Asunto: </w:t>
      </w:r>
    </w:p>
    <w:p w:rsidR="00CA44BF" w:rsidRPr="00CA44BF" w:rsidRDefault="00CA44BF" w:rsidP="00CA44BF">
      <w:pPr>
        <w:spacing w:after="120"/>
        <w:jc w:val="both"/>
        <w:rPr>
          <w:rFonts w:ascii="Verdana" w:eastAsia="Verdana" w:hAnsi="Verdana" w:cs="Verdana"/>
          <w:color w:val="000000"/>
          <w:sz w:val="20"/>
          <w:lang w:eastAsia="es-ES"/>
        </w:rPr>
      </w:pPr>
      <w:r w:rsidRPr="00CA44BF">
        <w:rPr>
          <w:rFonts w:ascii="Verdana" w:eastAsia="Verdana" w:hAnsi="Verdana" w:cs="Verdana"/>
          <w:b/>
          <w:color w:val="000000"/>
          <w:sz w:val="20"/>
          <w:lang w:eastAsia="es-ES"/>
        </w:rPr>
        <w:t xml:space="preserve">Documento </w:t>
      </w:r>
      <w:r w:rsidR="006C0EA8">
        <w:rPr>
          <w:rFonts w:ascii="Verdana" w:eastAsia="Verdana" w:hAnsi="Verdana" w:cs="Verdana"/>
          <w:b/>
          <w:color w:val="000000"/>
          <w:sz w:val="20"/>
          <w:lang w:eastAsia="es-ES"/>
        </w:rPr>
        <w:t>asinado</w:t>
      </w:r>
      <w:r w:rsidRPr="00CA44BF">
        <w:rPr>
          <w:rFonts w:ascii="Verdana" w:eastAsia="Verdana" w:hAnsi="Verdana" w:cs="Verdana"/>
          <w:b/>
          <w:color w:val="000000"/>
          <w:sz w:val="20"/>
          <w:lang w:eastAsia="es-ES"/>
        </w:rPr>
        <w:t xml:space="preserve"> por: </w:t>
      </w:r>
      <w:r w:rsidR="00E4743B">
        <w:rPr>
          <w:rFonts w:ascii="Verdana" w:eastAsia="Verdana" w:hAnsi="Verdana" w:cs="Verdana"/>
          <w:color w:val="000000"/>
          <w:sz w:val="20"/>
          <w:lang w:eastAsia="es-ES"/>
        </w:rPr>
        <w:t>O Secretari@</w:t>
      </w:r>
      <w:r w:rsidR="008B7F4F">
        <w:rPr>
          <w:rFonts w:ascii="Verdana" w:eastAsia="Verdana" w:hAnsi="Verdana" w:cs="Verdana"/>
          <w:color w:val="000000"/>
          <w:sz w:val="20"/>
          <w:lang w:eastAsia="es-ES"/>
        </w:rPr>
        <w:t>-Interventor</w:t>
      </w:r>
      <w:r w:rsidR="00E4743B">
        <w:rPr>
          <w:rFonts w:ascii="Verdana" w:eastAsia="Verdana" w:hAnsi="Verdana" w:cs="Verdana"/>
          <w:color w:val="000000"/>
          <w:sz w:val="20"/>
          <w:lang w:eastAsia="es-ES"/>
        </w:rPr>
        <w:t>@</w:t>
      </w:r>
    </w:p>
    <w:p w:rsidR="00CA44BF" w:rsidRPr="00CA44BF" w:rsidRDefault="00CA44BF" w:rsidP="00CA44BF">
      <w:pPr>
        <w:spacing w:after="120"/>
        <w:jc w:val="both"/>
        <w:rPr>
          <w:rFonts w:ascii="Verdana" w:eastAsia="Verdana" w:hAnsi="Verdana" w:cs="Verdana"/>
          <w:b/>
          <w:bCs/>
          <w:color w:val="333399"/>
          <w:sz w:val="22"/>
          <w:szCs w:val="22"/>
          <w:lang w:eastAsia="es-ES"/>
        </w:rPr>
      </w:pPr>
      <w:bookmarkStart w:id="0" w:name="a2"/>
      <w:bookmarkStart w:id="1" w:name="a3"/>
    </w:p>
    <w:p w:rsidR="00CA44BF" w:rsidRPr="00CA44BF" w:rsidRDefault="00CA44BF" w:rsidP="00CA44BF">
      <w:pPr>
        <w:spacing w:after="120"/>
        <w:jc w:val="both"/>
        <w:rPr>
          <w:rFonts w:ascii="Arial" w:hAnsi="Arial" w:cs="Arial"/>
          <w:b/>
          <w:bCs/>
          <w:color w:val="333399"/>
          <w:szCs w:val="22"/>
          <w:lang w:eastAsia="es-ES"/>
        </w:rPr>
      </w:pPr>
      <w:r w:rsidRPr="00CA44BF">
        <w:rPr>
          <w:rFonts w:ascii="Verdana" w:eastAsia="Verdana" w:hAnsi="Verdana" w:cs="Verdana"/>
          <w:b/>
          <w:bCs/>
          <w:color w:val="333399"/>
          <w:sz w:val="22"/>
          <w:szCs w:val="22"/>
          <w:lang w:eastAsia="es-ES"/>
        </w:rPr>
        <w:t>INFORME DE SECRETARÍA</w:t>
      </w:r>
      <w:r w:rsidR="006C0EA8">
        <w:rPr>
          <w:rFonts w:ascii="Verdana" w:eastAsia="Verdana" w:hAnsi="Verdana" w:cs="Verdana"/>
          <w:b/>
          <w:bCs/>
          <w:color w:val="333399"/>
          <w:sz w:val="22"/>
          <w:szCs w:val="22"/>
          <w:lang w:eastAsia="es-ES"/>
        </w:rPr>
        <w:t>-INTERVENCIÓN</w:t>
      </w:r>
    </w:p>
    <w:bookmarkEnd w:id="0"/>
    <w:bookmarkEnd w:id="1"/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ascii="Arial" w:hAnsi="Arial"/>
          <w:sz w:val="22"/>
          <w:szCs w:val="22"/>
          <w:lang w:val="gl-ES"/>
        </w:rPr>
      </w:pP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ascii="Arial" w:hAnsi="Arial"/>
          <w:sz w:val="22"/>
          <w:szCs w:val="22"/>
          <w:lang w:val="gl-ES"/>
        </w:rPr>
      </w:pPr>
      <w:r w:rsidRPr="00CA44BF">
        <w:rPr>
          <w:rFonts w:eastAsia="Verdana" w:cs="Verdana"/>
          <w:szCs w:val="22"/>
          <w:lang w:val="gl-ES"/>
        </w:rPr>
        <w:t xml:space="preserve">De acordo co ordenado pola Alcaldía mediante Providencia de data _________ e en cumprimento do establecido nos artigo 3.3.a) e 4.1.a) do </w:t>
      </w:r>
      <w:r w:rsidRPr="00CA44BF">
        <w:rPr>
          <w:rFonts w:eastAsia="Verdana" w:cs="Verdana"/>
          <w:bCs/>
          <w:szCs w:val="22"/>
          <w:lang w:val="gl-ES"/>
        </w:rPr>
        <w:t xml:space="preserve">Real Decreto 128/2018, de 16 de marzo, polo que se regula o réxime xurídico dos funcionarios de Administración Local con habilitación de carácter nacional </w:t>
      </w:r>
      <w:r w:rsidRPr="00CA44BF">
        <w:rPr>
          <w:rFonts w:eastAsia="Verdana" w:cs="Verdana"/>
          <w:szCs w:val="22"/>
          <w:lang w:val="gl-ES"/>
        </w:rPr>
        <w:t>e o Real Decreto 424/2017, de 28 de abril, polo que se regula o réxime xurídico do control interno nas entidades do Sector Público Local</w:t>
      </w:r>
      <w:r w:rsidRPr="00CA44BF">
        <w:rPr>
          <w:rStyle w:val="Textoennegrita"/>
          <w:rFonts w:eastAsia="Verdana" w:cs="Verdana"/>
          <w:b w:val="0"/>
          <w:bCs w:val="0"/>
          <w:szCs w:val="22"/>
          <w:lang w:val="gl-ES"/>
        </w:rPr>
        <w:t xml:space="preserve">, </w:t>
      </w:r>
      <w:r w:rsidRPr="00CA44BF">
        <w:rPr>
          <w:rFonts w:eastAsia="Verdana" w:cs="Verdana"/>
          <w:szCs w:val="22"/>
          <w:lang w:val="gl-ES"/>
        </w:rPr>
        <w:t>en relación co expediente para a aprobación do réxime de control interno, emítese o seguinte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ascii="Arial" w:hAnsi="Arial"/>
          <w:b/>
          <w:bCs/>
          <w:szCs w:val="20"/>
          <w:lang w:val="gl-ES"/>
        </w:rPr>
      </w:pPr>
      <w:r w:rsidRPr="00CA44BF">
        <w:rPr>
          <w:rFonts w:eastAsia="Verdana" w:cs="Verdana"/>
          <w:b/>
          <w:bCs/>
          <w:szCs w:val="20"/>
          <w:lang w:val="gl-ES"/>
        </w:rPr>
        <w:t>INFORME</w:t>
      </w:r>
    </w:p>
    <w:p w:rsidR="007752FA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b/>
          <w:bCs/>
          <w:szCs w:val="22"/>
          <w:lang w:val="gl-ES"/>
        </w:rPr>
        <w:t>Primeiro.</w:t>
      </w:r>
      <w:r w:rsidRPr="00CA44BF">
        <w:rPr>
          <w:rFonts w:eastAsia="Verdana" w:cs="Verdana"/>
          <w:b/>
          <w:szCs w:val="22"/>
          <w:lang w:val="gl-ES"/>
        </w:rPr>
        <w:t xml:space="preserve"> </w:t>
      </w:r>
      <w:r w:rsidRPr="00CA44BF">
        <w:rPr>
          <w:rFonts w:eastAsia="Verdana" w:cs="Verdana"/>
          <w:szCs w:val="22"/>
          <w:lang w:val="gl-ES"/>
        </w:rPr>
        <w:t xml:space="preserve">O </w:t>
      </w:r>
      <w:r w:rsidRPr="00CA44BF">
        <w:rPr>
          <w:rFonts w:eastAsia="Verdana" w:cs="Verdana"/>
          <w:szCs w:val="22"/>
          <w:u w:val="single"/>
          <w:lang w:val="gl-ES"/>
        </w:rPr>
        <w:t>control interno</w:t>
      </w:r>
      <w:r w:rsidRPr="00CA44BF">
        <w:rPr>
          <w:rFonts w:eastAsia="Verdana" w:cs="Verdana"/>
          <w:szCs w:val="22"/>
          <w:lang w:val="gl-ES"/>
        </w:rPr>
        <w:t>, reg</w:t>
      </w:r>
      <w:r w:rsidR="007752FA">
        <w:rPr>
          <w:rFonts w:eastAsia="Verdana" w:cs="Verdana"/>
          <w:szCs w:val="22"/>
          <w:lang w:val="gl-ES"/>
        </w:rPr>
        <w:t>úlase</w:t>
      </w:r>
      <w:r w:rsidRPr="00CA44BF">
        <w:rPr>
          <w:rFonts w:eastAsia="Verdana" w:cs="Verdana"/>
          <w:szCs w:val="22"/>
          <w:lang w:val="gl-ES"/>
        </w:rPr>
        <w:t xml:space="preserve"> no artigo 213 do </w:t>
      </w:r>
      <w:r w:rsidR="007752FA">
        <w:rPr>
          <w:rFonts w:eastAsia="Verdana" w:cs="Verdana"/>
          <w:szCs w:val="22"/>
          <w:lang w:val="gl-ES"/>
        </w:rPr>
        <w:t>t</w:t>
      </w:r>
      <w:r w:rsidRPr="00CA44BF">
        <w:rPr>
          <w:rFonts w:eastAsia="Verdana" w:cs="Verdana"/>
          <w:szCs w:val="22"/>
          <w:lang w:val="gl-ES"/>
        </w:rPr>
        <w:t xml:space="preserve">exto </w:t>
      </w:r>
      <w:r w:rsidR="007752FA">
        <w:rPr>
          <w:rFonts w:eastAsia="Verdana" w:cs="Verdana"/>
          <w:szCs w:val="22"/>
          <w:lang w:val="gl-ES"/>
        </w:rPr>
        <w:t>r</w:t>
      </w:r>
      <w:r w:rsidRPr="00CA44BF">
        <w:rPr>
          <w:rFonts w:eastAsia="Verdana" w:cs="Verdana"/>
          <w:szCs w:val="22"/>
          <w:lang w:val="gl-ES"/>
        </w:rPr>
        <w:t xml:space="preserve">efundido da Lei </w:t>
      </w:r>
      <w:r w:rsidR="007752FA">
        <w:rPr>
          <w:rFonts w:eastAsia="Verdana" w:cs="Verdana"/>
          <w:szCs w:val="22"/>
          <w:lang w:val="gl-ES"/>
        </w:rPr>
        <w:t>r</w:t>
      </w:r>
      <w:r w:rsidRPr="00CA44BF">
        <w:rPr>
          <w:rFonts w:eastAsia="Verdana" w:cs="Verdana"/>
          <w:szCs w:val="22"/>
          <w:lang w:val="gl-ES"/>
        </w:rPr>
        <w:t xml:space="preserve">eguladora das </w:t>
      </w:r>
      <w:r w:rsidR="007752FA">
        <w:rPr>
          <w:rFonts w:eastAsia="Verdana" w:cs="Verdana"/>
          <w:szCs w:val="22"/>
          <w:lang w:val="gl-ES"/>
        </w:rPr>
        <w:t>f</w:t>
      </w:r>
      <w:r w:rsidRPr="00CA44BF">
        <w:rPr>
          <w:rFonts w:eastAsia="Verdana" w:cs="Verdana"/>
          <w:szCs w:val="22"/>
          <w:lang w:val="gl-ES"/>
        </w:rPr>
        <w:t xml:space="preserve">acendas </w:t>
      </w:r>
      <w:r w:rsidR="007752FA">
        <w:rPr>
          <w:rFonts w:eastAsia="Verdana" w:cs="Verdana"/>
          <w:szCs w:val="22"/>
          <w:lang w:val="gl-ES"/>
        </w:rPr>
        <w:t>l</w:t>
      </w:r>
      <w:r w:rsidRPr="00CA44BF">
        <w:rPr>
          <w:rFonts w:eastAsia="Verdana" w:cs="Verdana"/>
          <w:szCs w:val="22"/>
          <w:lang w:val="gl-ES"/>
        </w:rPr>
        <w:t>ocais, aprobado polo Real Decreto Lexislativo 2/2004, de 5 de marzo, e desenvolvido polo Real Decreto 424/2017, de 28 de abril, polo que se regula o réxime xurídico do control interno nas entidades do Sector Público Local</w:t>
      </w:r>
      <w:r w:rsidR="007752FA">
        <w:rPr>
          <w:rFonts w:eastAsia="Verdana" w:cs="Verdana"/>
          <w:szCs w:val="22"/>
          <w:lang w:val="gl-ES"/>
        </w:rPr>
        <w:t>.</w:t>
      </w:r>
    </w:p>
    <w:p w:rsidR="00CA44BF" w:rsidRPr="00CA44BF" w:rsidRDefault="007752FA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>
        <w:rPr>
          <w:rFonts w:eastAsia="Verdana" w:cs="Verdana"/>
          <w:szCs w:val="22"/>
          <w:lang w:val="gl-ES"/>
        </w:rPr>
        <w:t xml:space="preserve">Segundo se regula nas anteriores normas, o control interno ten unha </w:t>
      </w:r>
      <w:r w:rsidRPr="00CA44BF">
        <w:rPr>
          <w:rFonts w:eastAsia="Verdana" w:cs="Verdana"/>
          <w:szCs w:val="22"/>
          <w:lang w:val="gl-ES"/>
        </w:rPr>
        <w:t>tripla acepción de función interventora, control financeiro e controis de eficacia e eficiencia</w:t>
      </w:r>
      <w:r>
        <w:rPr>
          <w:rFonts w:eastAsia="Verdana" w:cs="Verdana"/>
          <w:szCs w:val="22"/>
          <w:lang w:val="gl-ES"/>
        </w:rPr>
        <w:t>, que se aplica sobre a xestión económica</w:t>
      </w:r>
      <w:r w:rsidR="00CA44BF" w:rsidRPr="00CA44BF">
        <w:rPr>
          <w:rFonts w:eastAsia="Verdana" w:cs="Verdana"/>
          <w:szCs w:val="22"/>
          <w:lang w:val="gl-ES"/>
        </w:rPr>
        <w:t xml:space="preserve"> </w:t>
      </w:r>
      <w:r>
        <w:rPr>
          <w:rFonts w:eastAsia="Verdana" w:cs="Verdana"/>
          <w:szCs w:val="22"/>
          <w:lang w:val="gl-ES"/>
        </w:rPr>
        <w:t>d</w:t>
      </w:r>
      <w:r w:rsidR="00CA44BF" w:rsidRPr="00CA44BF">
        <w:rPr>
          <w:rFonts w:eastAsia="Verdana" w:cs="Verdana"/>
          <w:szCs w:val="22"/>
          <w:lang w:val="gl-ES"/>
        </w:rPr>
        <w:t xml:space="preserve">as Entidades Locais e, no seu caso, </w:t>
      </w:r>
      <w:r>
        <w:rPr>
          <w:rFonts w:eastAsia="Verdana" w:cs="Verdana"/>
          <w:szCs w:val="22"/>
          <w:lang w:val="gl-ES"/>
        </w:rPr>
        <w:t>dos</w:t>
      </w:r>
      <w:r w:rsidR="00CA44BF" w:rsidRPr="00CA44BF">
        <w:rPr>
          <w:rFonts w:eastAsia="Verdana" w:cs="Verdana"/>
          <w:szCs w:val="22"/>
          <w:lang w:val="gl-ES"/>
        </w:rPr>
        <w:t xml:space="preserve"> organismos autónomos e das sociedades mer</w:t>
      </w:r>
      <w:r>
        <w:rPr>
          <w:rFonts w:eastAsia="Verdana" w:cs="Verdana"/>
          <w:szCs w:val="22"/>
          <w:lang w:val="gl-ES"/>
        </w:rPr>
        <w:t>cantís delas dependentes</w:t>
      </w:r>
      <w:r w:rsidR="00CA44BF" w:rsidRPr="00CA44BF">
        <w:rPr>
          <w:rFonts w:eastAsia="Verdana" w:cs="Verdana"/>
          <w:szCs w:val="22"/>
          <w:lang w:val="gl-ES"/>
        </w:rPr>
        <w:t xml:space="preserve">. 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szCs w:val="22"/>
          <w:lang w:val="gl-ES"/>
        </w:rPr>
        <w:t>A dita función de control interno será exercida sobre a totalidade de Entidades que conforman o sector público local, polos órganos de Intervención, coa extensión e os efectos seguintes:</w:t>
      </w:r>
    </w:p>
    <w:p w:rsidR="00CA44BF" w:rsidRPr="00CA44BF" w:rsidRDefault="00CA44BF" w:rsidP="00CA44BF">
      <w:pPr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after="120"/>
        <w:jc w:val="both"/>
        <w:outlineLvl w:val="5"/>
        <w:rPr>
          <w:rFonts w:ascii="Verdana" w:eastAsia="Verdana" w:hAnsi="Verdana" w:cs="Verdana"/>
          <w:bCs/>
          <w:sz w:val="20"/>
          <w:szCs w:val="22"/>
        </w:rPr>
      </w:pPr>
      <w:r w:rsidRPr="00CA44BF">
        <w:rPr>
          <w:rFonts w:ascii="Verdana" w:eastAsia="Verdana" w:hAnsi="Verdana" w:cs="Verdana"/>
          <w:bCs/>
          <w:sz w:val="20"/>
          <w:szCs w:val="22"/>
        </w:rPr>
        <w:t>A propia Entidade Local.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Os organismos autónomos locais.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As entidades públicas empresariais locais.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As sociedades mercantís dependentes da Entidade Local.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As fundacións do sector público dependentes da Entidade Local.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Os fondos carentes de personalidade xurídica cuxa dotación se efectúe maioritariamente desde os Orzamentos Xerais da Entidade Local.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Os consorcios dotados de personalidade xurídica propia adscritos á Entidade Local de conformidade coa Lei 40/2015, de 1 de outubro, de Réxime Xurídico do Sector Público.</w:t>
      </w:r>
    </w:p>
    <w:p w:rsidR="00CA44BF" w:rsidRPr="00CA44BF" w:rsidRDefault="00CA44BF" w:rsidP="00CA44BF">
      <w:pPr>
        <w:pStyle w:val="Ttulo6"/>
        <w:widowControl w:val="0"/>
        <w:numPr>
          <w:ilvl w:val="0"/>
          <w:numId w:val="1"/>
        </w:numPr>
        <w:tabs>
          <w:tab w:val="left" w:pos="709"/>
          <w:tab w:val="left" w:pos="5954"/>
          <w:tab w:val="left" w:pos="6663"/>
        </w:tabs>
        <w:spacing w:before="0" w:after="120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t>As entidades con ou sen personalidade xurídica distintas ás mencionadas nos apartados anteriores con participación total ou maioritaria da Entidade Local.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b/>
          <w:szCs w:val="22"/>
          <w:lang w:val="gl-ES"/>
        </w:rPr>
      </w:pPr>
      <w:r w:rsidRPr="00CA44BF">
        <w:rPr>
          <w:rFonts w:eastAsia="Verdana" w:cs="Verdana"/>
          <w:b/>
          <w:szCs w:val="22"/>
          <w:lang w:val="gl-ES"/>
        </w:rPr>
        <w:t xml:space="preserve">Segundo. </w:t>
      </w:r>
      <w:r w:rsidRPr="00CA44BF">
        <w:rPr>
          <w:rFonts w:eastAsia="Verdana" w:cs="Verdana"/>
          <w:szCs w:val="22"/>
          <w:lang w:val="gl-ES"/>
        </w:rPr>
        <w:t>A Lexislación aplicable ven determinada por:</w:t>
      </w:r>
    </w:p>
    <w:p w:rsidR="00CA44BF" w:rsidRPr="00CA44BF" w:rsidRDefault="00CA44BF" w:rsidP="00CA44BF">
      <w:pPr>
        <w:pStyle w:val="Ttulo6"/>
        <w:widowControl w:val="0"/>
        <w:numPr>
          <w:ilvl w:val="1"/>
          <w:numId w:val="2"/>
        </w:numPr>
        <w:tabs>
          <w:tab w:val="left" w:pos="709"/>
        </w:tabs>
        <w:spacing w:before="0" w:after="120"/>
        <w:ind w:left="709"/>
        <w:jc w:val="both"/>
        <w:rPr>
          <w:rFonts w:ascii="Arial" w:hAnsi="Arial" w:cs="Arial"/>
          <w:b w:val="0"/>
        </w:rPr>
      </w:pPr>
      <w:r w:rsidRPr="00CA44BF">
        <w:rPr>
          <w:rFonts w:ascii="Verdana" w:eastAsia="Verdana" w:hAnsi="Verdana" w:cs="Verdana"/>
          <w:b w:val="0"/>
          <w:sz w:val="20"/>
        </w:rPr>
        <w:t xml:space="preserve">Os artigos 1 a 4, 9 e 13 do Real Decreto 424/2017, de 28 de abril, polo que se regula o réxime xurídico do control interno nas entidades do Sector Público Local. </w:t>
      </w:r>
    </w:p>
    <w:p w:rsidR="00CA44BF" w:rsidRPr="00CA44BF" w:rsidRDefault="00CA44BF" w:rsidP="00CA44BF">
      <w:pPr>
        <w:pStyle w:val="Ttulo6"/>
        <w:widowControl w:val="0"/>
        <w:numPr>
          <w:ilvl w:val="1"/>
          <w:numId w:val="2"/>
        </w:numPr>
        <w:tabs>
          <w:tab w:val="left" w:pos="709"/>
          <w:tab w:val="left" w:pos="5954"/>
          <w:tab w:val="left" w:pos="6663"/>
        </w:tabs>
        <w:spacing w:before="0" w:after="120"/>
        <w:ind w:left="709"/>
        <w:jc w:val="both"/>
        <w:rPr>
          <w:rFonts w:ascii="Verdana" w:eastAsia="Verdana" w:hAnsi="Verdana" w:cs="Verdana"/>
          <w:b w:val="0"/>
          <w:sz w:val="20"/>
        </w:rPr>
      </w:pPr>
      <w:r w:rsidRPr="00CA44BF">
        <w:rPr>
          <w:rFonts w:ascii="Verdana" w:eastAsia="Verdana" w:hAnsi="Verdana" w:cs="Verdana"/>
          <w:b w:val="0"/>
          <w:sz w:val="20"/>
        </w:rPr>
        <w:lastRenderedPageBreak/>
        <w:t>Os artigos 213, 214 e 219 do Texto Refundido da Lei Reguladora das Facendas Locais, aprobado polo Real Decreto Lexislativo 2/2004, de 5 de marzo.</w:t>
      </w:r>
    </w:p>
    <w:p w:rsidR="00CA44BF" w:rsidRPr="00CA44BF" w:rsidRDefault="00CA44BF" w:rsidP="00CA44BF">
      <w:pPr>
        <w:numPr>
          <w:ilvl w:val="1"/>
          <w:numId w:val="2"/>
        </w:numPr>
        <w:tabs>
          <w:tab w:val="left" w:pos="709"/>
        </w:tabs>
        <w:spacing w:after="120"/>
        <w:ind w:left="709" w:right="9"/>
        <w:jc w:val="both"/>
        <w:rPr>
          <w:rFonts w:ascii="Arial" w:hAnsi="Arial" w:cs="Arial"/>
          <w:sz w:val="22"/>
          <w:lang w:eastAsia="es-ES"/>
        </w:rPr>
      </w:pPr>
      <w:r w:rsidRPr="00CA44BF">
        <w:rPr>
          <w:rFonts w:ascii="Verdana" w:eastAsia="Verdana" w:hAnsi="Verdana" w:cs="Verdana"/>
          <w:sz w:val="20"/>
          <w:lang w:eastAsia="es-ES"/>
        </w:rPr>
        <w:t>Os artigos 22.2 a) e d)</w:t>
      </w:r>
      <w:r w:rsidR="00270A1A">
        <w:rPr>
          <w:rFonts w:ascii="Verdana" w:eastAsia="Verdana" w:hAnsi="Verdana" w:cs="Verdana"/>
          <w:sz w:val="20"/>
          <w:lang w:eastAsia="es-ES"/>
        </w:rPr>
        <w:t xml:space="preserve"> e 49</w:t>
      </w:r>
      <w:r w:rsidRPr="00CA44BF">
        <w:rPr>
          <w:rFonts w:ascii="Verdana" w:eastAsia="Verdana" w:hAnsi="Verdana" w:cs="Verdana"/>
          <w:sz w:val="20"/>
          <w:lang w:eastAsia="es-ES"/>
        </w:rPr>
        <w:t xml:space="preserve"> da Lei 7/1985, de 2 de abril, Reguladora das Bases de Réxime Local.</w:t>
      </w:r>
    </w:p>
    <w:p w:rsidR="00CA44BF" w:rsidRPr="00CA44BF" w:rsidRDefault="00CA44BF" w:rsidP="00CA44BF">
      <w:pPr>
        <w:pStyle w:val="Ttulo6"/>
        <w:widowControl w:val="0"/>
        <w:numPr>
          <w:ilvl w:val="1"/>
          <w:numId w:val="2"/>
        </w:numPr>
        <w:tabs>
          <w:tab w:val="left" w:pos="709"/>
          <w:tab w:val="left" w:pos="5954"/>
          <w:tab w:val="left" w:pos="6663"/>
        </w:tabs>
        <w:spacing w:before="0" w:after="120"/>
        <w:ind w:left="709"/>
        <w:jc w:val="both"/>
        <w:rPr>
          <w:rFonts w:ascii="Arial" w:hAnsi="Arial" w:cs="Arial"/>
          <w:b w:val="0"/>
        </w:rPr>
      </w:pPr>
      <w:r w:rsidRPr="00CA44BF">
        <w:rPr>
          <w:rFonts w:ascii="Verdana" w:eastAsia="Verdana" w:hAnsi="Verdana" w:cs="Verdana"/>
          <w:b w:val="0"/>
          <w:sz w:val="20"/>
        </w:rPr>
        <w:t>Os artigos 3 e 4 do Real Decreto 128/2018, de 16 de marzo, polo que se regula o réxime xurídico dos funcionarios de Administración Local con habilitación de carácter nacional.</w:t>
      </w:r>
    </w:p>
    <w:p w:rsidR="00D237F6" w:rsidRPr="00D237F6" w:rsidRDefault="00CA44BF" w:rsidP="00D237F6">
      <w:pPr>
        <w:pStyle w:val="NormalWeb"/>
        <w:tabs>
          <w:tab w:val="left" w:pos="9923"/>
        </w:tabs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D237F6">
        <w:rPr>
          <w:rFonts w:eastAsia="Verdana" w:cs="Verdana"/>
          <w:b/>
          <w:szCs w:val="22"/>
          <w:lang w:val="gl-ES"/>
        </w:rPr>
        <w:t>Terceiro.</w:t>
      </w:r>
      <w:r w:rsidRPr="00D237F6">
        <w:rPr>
          <w:rFonts w:eastAsia="Verdana" w:cs="Verdana"/>
          <w:szCs w:val="22"/>
          <w:lang w:val="gl-ES"/>
        </w:rPr>
        <w:t xml:space="preserve"> </w:t>
      </w:r>
      <w:r w:rsidR="00D237F6">
        <w:rPr>
          <w:rFonts w:eastAsia="Verdana" w:cs="Verdana"/>
          <w:szCs w:val="22"/>
          <w:lang w:val="gl-ES"/>
        </w:rPr>
        <w:t xml:space="preserve">O artigo 219.2 do </w:t>
      </w:r>
      <w:r w:rsidR="00D237F6" w:rsidRPr="00D237F6">
        <w:rPr>
          <w:rFonts w:eastAsia="Verdana" w:cs="Verdana"/>
          <w:szCs w:val="22"/>
          <w:lang w:val="gl-ES"/>
        </w:rPr>
        <w:t>Real Decreto Legislativo 2/2004, de 5 de marzo, pol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que se apr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ba 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texto refundido da Le</w:t>
      </w:r>
      <w:r w:rsidR="00D237F6">
        <w:rPr>
          <w:rFonts w:eastAsia="Verdana" w:cs="Verdana"/>
          <w:szCs w:val="22"/>
          <w:lang w:val="gl-ES"/>
        </w:rPr>
        <w:t>i</w:t>
      </w:r>
      <w:r w:rsidR="00D237F6" w:rsidRPr="00D237F6">
        <w:rPr>
          <w:rFonts w:eastAsia="Verdana" w:cs="Verdana"/>
          <w:szCs w:val="22"/>
          <w:lang w:val="gl-ES"/>
        </w:rPr>
        <w:t xml:space="preserve"> Reguladora das </w:t>
      </w:r>
      <w:r w:rsidR="00D237F6">
        <w:rPr>
          <w:rFonts w:eastAsia="Verdana" w:cs="Verdana"/>
          <w:szCs w:val="22"/>
          <w:lang w:val="gl-ES"/>
        </w:rPr>
        <w:t>F</w:t>
      </w:r>
      <w:r w:rsidR="00D237F6" w:rsidRPr="00D237F6">
        <w:rPr>
          <w:rFonts w:eastAsia="Verdana" w:cs="Verdana"/>
          <w:szCs w:val="22"/>
          <w:lang w:val="gl-ES"/>
        </w:rPr>
        <w:t>acendas Loca</w:t>
      </w:r>
      <w:r w:rsidR="00D237F6">
        <w:rPr>
          <w:rFonts w:eastAsia="Verdana" w:cs="Verdana"/>
          <w:szCs w:val="22"/>
          <w:lang w:val="gl-ES"/>
        </w:rPr>
        <w:t>i</w:t>
      </w:r>
      <w:r w:rsidR="00D237F6" w:rsidRPr="00D237F6">
        <w:rPr>
          <w:rFonts w:eastAsia="Verdana" w:cs="Verdana"/>
          <w:szCs w:val="22"/>
          <w:lang w:val="gl-ES"/>
        </w:rPr>
        <w:t xml:space="preserve">s, permite que 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Pleno da Corporación, a prop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>sta d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Presidente </w:t>
      </w:r>
      <w:r w:rsidR="00D237F6">
        <w:rPr>
          <w:rFonts w:eastAsia="Verdana" w:cs="Verdana"/>
          <w:szCs w:val="22"/>
          <w:lang w:val="gl-ES"/>
        </w:rPr>
        <w:t>e</w:t>
      </w:r>
      <w:r w:rsidR="00D237F6" w:rsidRPr="00D237F6">
        <w:rPr>
          <w:rFonts w:eastAsia="Verdana" w:cs="Verdana"/>
          <w:szCs w:val="22"/>
          <w:lang w:val="gl-ES"/>
        </w:rPr>
        <w:t xml:space="preserve"> previo informe da Intervención Municipal, acordar que a intervención previa se limite a comprobar certos e</w:t>
      </w:r>
      <w:r w:rsidR="00D237F6">
        <w:rPr>
          <w:rFonts w:eastAsia="Verdana" w:cs="Verdana"/>
          <w:szCs w:val="22"/>
          <w:lang w:val="gl-ES"/>
        </w:rPr>
        <w:t>x</w:t>
      </w:r>
      <w:r w:rsidR="00D237F6" w:rsidRPr="00D237F6">
        <w:rPr>
          <w:rFonts w:eastAsia="Verdana" w:cs="Verdana"/>
          <w:szCs w:val="22"/>
          <w:lang w:val="gl-ES"/>
        </w:rPr>
        <w:t xml:space="preserve">tremos. </w:t>
      </w:r>
      <w:r w:rsidR="00D237F6">
        <w:rPr>
          <w:rFonts w:eastAsia="Verdana" w:cs="Verdana"/>
          <w:szCs w:val="22"/>
          <w:lang w:val="gl-ES"/>
        </w:rPr>
        <w:t>No</w:t>
      </w:r>
      <w:r w:rsidR="00D237F6" w:rsidRPr="00D237F6">
        <w:rPr>
          <w:rFonts w:eastAsia="Verdana" w:cs="Verdana"/>
          <w:szCs w:val="22"/>
          <w:lang w:val="gl-ES"/>
        </w:rPr>
        <w:t xml:space="preserve"> m</w:t>
      </w:r>
      <w:r w:rsidR="00D237F6">
        <w:rPr>
          <w:rFonts w:eastAsia="Verdana" w:cs="Verdana"/>
          <w:szCs w:val="22"/>
          <w:lang w:val="gl-ES"/>
        </w:rPr>
        <w:t>e</w:t>
      </w:r>
      <w:r w:rsidR="00D237F6" w:rsidRPr="00D237F6">
        <w:rPr>
          <w:rFonts w:eastAsia="Verdana" w:cs="Verdana"/>
          <w:szCs w:val="22"/>
          <w:lang w:val="gl-ES"/>
        </w:rPr>
        <w:t>smo sentido manif</w:t>
      </w:r>
      <w:r w:rsidR="00D237F6">
        <w:rPr>
          <w:rFonts w:eastAsia="Verdana" w:cs="Verdana"/>
          <w:szCs w:val="22"/>
          <w:lang w:val="gl-ES"/>
        </w:rPr>
        <w:t>é</w:t>
      </w:r>
      <w:r w:rsidR="00D237F6" w:rsidRPr="00D237F6">
        <w:rPr>
          <w:rFonts w:eastAsia="Verdana" w:cs="Verdana"/>
          <w:szCs w:val="22"/>
          <w:lang w:val="gl-ES"/>
        </w:rPr>
        <w:t>sta</w:t>
      </w:r>
      <w:r w:rsidR="00D237F6">
        <w:rPr>
          <w:rFonts w:eastAsia="Verdana" w:cs="Verdana"/>
          <w:szCs w:val="22"/>
          <w:lang w:val="gl-ES"/>
        </w:rPr>
        <w:t>se</w:t>
      </w:r>
      <w:r w:rsidR="00D237F6" w:rsidRPr="00D237F6">
        <w:rPr>
          <w:rFonts w:eastAsia="Verdana" w:cs="Verdana"/>
          <w:szCs w:val="22"/>
          <w:lang w:val="gl-ES"/>
        </w:rPr>
        <w:t xml:space="preserve"> 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</w:t>
      </w:r>
      <w:r w:rsidR="00D237F6">
        <w:rPr>
          <w:rFonts w:eastAsia="Verdana" w:cs="Verdana"/>
          <w:szCs w:val="22"/>
          <w:lang w:val="gl-ES"/>
        </w:rPr>
        <w:t>artigo</w:t>
      </w:r>
      <w:r w:rsidR="00D237F6" w:rsidRPr="00D237F6">
        <w:rPr>
          <w:rFonts w:eastAsia="Verdana" w:cs="Verdana"/>
          <w:szCs w:val="22"/>
          <w:lang w:val="gl-ES"/>
        </w:rPr>
        <w:t xml:space="preserve"> 13 d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Real Decreto 424/2017, de 28 de abril, pol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que se regula 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ré</w:t>
      </w:r>
      <w:r w:rsidR="00D237F6">
        <w:rPr>
          <w:rFonts w:eastAsia="Verdana" w:cs="Verdana"/>
          <w:szCs w:val="22"/>
          <w:lang w:val="gl-ES"/>
        </w:rPr>
        <w:t>x</w:t>
      </w:r>
      <w:r w:rsidR="00D237F6" w:rsidRPr="00D237F6">
        <w:rPr>
          <w:rFonts w:eastAsia="Verdana" w:cs="Verdana"/>
          <w:szCs w:val="22"/>
          <w:lang w:val="gl-ES"/>
        </w:rPr>
        <w:t xml:space="preserve">ime </w:t>
      </w:r>
      <w:r w:rsidR="00D237F6">
        <w:rPr>
          <w:rFonts w:eastAsia="Verdana" w:cs="Verdana"/>
          <w:szCs w:val="22"/>
          <w:lang w:val="gl-ES"/>
        </w:rPr>
        <w:t>x</w:t>
      </w:r>
      <w:r w:rsidR="00D237F6" w:rsidRPr="00D237F6">
        <w:rPr>
          <w:rFonts w:eastAsia="Verdana" w:cs="Verdana"/>
          <w:szCs w:val="22"/>
          <w:lang w:val="gl-ES"/>
        </w:rPr>
        <w:t>urídico d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control interno nas entidades d</w:t>
      </w:r>
      <w:r w:rsidR="00D237F6">
        <w:rPr>
          <w:rFonts w:eastAsia="Verdana" w:cs="Verdana"/>
          <w:szCs w:val="22"/>
          <w:lang w:val="gl-ES"/>
        </w:rPr>
        <w:t>o</w:t>
      </w:r>
      <w:r w:rsidR="00D237F6" w:rsidRPr="00D237F6">
        <w:rPr>
          <w:rFonts w:eastAsia="Verdana" w:cs="Verdana"/>
          <w:szCs w:val="22"/>
          <w:lang w:val="gl-ES"/>
        </w:rPr>
        <w:t xml:space="preserve"> Sector Público Local.</w:t>
      </w:r>
    </w:p>
    <w:p w:rsidR="00CA44BF" w:rsidRPr="00CA44BF" w:rsidRDefault="00D237F6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>
        <w:rPr>
          <w:rFonts w:eastAsia="Verdana" w:cs="Verdana"/>
          <w:szCs w:val="22"/>
          <w:lang w:val="gl-ES"/>
        </w:rPr>
        <w:t xml:space="preserve">Pola súa bando, </w:t>
      </w:r>
      <w:r w:rsidR="00CA44BF" w:rsidRPr="00CA44BF">
        <w:rPr>
          <w:rFonts w:eastAsia="Verdana" w:cs="Verdana"/>
          <w:szCs w:val="22"/>
          <w:lang w:val="gl-ES"/>
        </w:rPr>
        <w:t xml:space="preserve">o artigo 3 do Real Decreto 424/2017, de 28 de abril, polo que se regula o réxime xurídico do control interno nas entidades do Sector Público Local, </w:t>
      </w:r>
      <w:r>
        <w:rPr>
          <w:rFonts w:eastAsia="Verdana" w:cs="Verdana"/>
          <w:szCs w:val="22"/>
          <w:lang w:val="gl-ES"/>
        </w:rPr>
        <w:t xml:space="preserve">establece que </w:t>
      </w:r>
      <w:r w:rsidR="00CA44BF" w:rsidRPr="00CA44BF">
        <w:rPr>
          <w:rFonts w:eastAsia="Verdana" w:cs="Verdana"/>
          <w:szCs w:val="22"/>
          <w:lang w:val="gl-ES"/>
        </w:rPr>
        <w:t>o control i</w:t>
      </w:r>
      <w:r>
        <w:rPr>
          <w:rFonts w:eastAsia="Verdana" w:cs="Verdana"/>
          <w:szCs w:val="22"/>
          <w:lang w:val="gl-ES"/>
        </w:rPr>
        <w:t>nterno da actividade económico-</w:t>
      </w:r>
      <w:r w:rsidR="00CA44BF" w:rsidRPr="00CA44BF">
        <w:rPr>
          <w:rFonts w:eastAsia="Verdana" w:cs="Verdana"/>
          <w:szCs w:val="22"/>
          <w:lang w:val="gl-ES"/>
        </w:rPr>
        <w:t xml:space="preserve">financeira do sector público local </w:t>
      </w:r>
      <w:r w:rsidR="00CA44BF" w:rsidRPr="00CA44BF">
        <w:rPr>
          <w:rFonts w:eastAsia="Verdana" w:cs="Verdana"/>
          <w:i/>
          <w:szCs w:val="22"/>
          <w:lang w:val="gl-ES"/>
        </w:rPr>
        <w:t>exercerase polo órgano Interventor mediante o exercicio da función interventora e o control financeiro</w:t>
      </w:r>
      <w:r w:rsidR="00CA44BF" w:rsidRPr="00CA44BF">
        <w:rPr>
          <w:rFonts w:eastAsia="Verdana" w:cs="Verdana"/>
          <w:szCs w:val="22"/>
          <w:lang w:val="gl-ES"/>
        </w:rPr>
        <w:t>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szCs w:val="22"/>
          <w:lang w:val="gl-ES"/>
        </w:rPr>
        <w:t xml:space="preserve">Así, </w:t>
      </w:r>
      <w:r w:rsidRPr="00CA44BF">
        <w:rPr>
          <w:rFonts w:eastAsia="Verdana" w:cs="Verdana"/>
          <w:szCs w:val="22"/>
          <w:u w:val="single"/>
          <w:lang w:val="gl-ES"/>
        </w:rPr>
        <w:t>a función interventora</w:t>
      </w:r>
      <w:r w:rsidRPr="00CA44BF">
        <w:rPr>
          <w:rFonts w:eastAsia="Verdana" w:cs="Verdana"/>
          <w:szCs w:val="22"/>
          <w:lang w:val="gl-ES"/>
        </w:rPr>
        <w:t xml:space="preserve"> terá por obxecto fiscalizar todos os actos da Entidade e os seus organismos autónomos locais que dean lugar ao recoñecemento e liquidación de dereitos e obrigacións ou gastos de contido económico, os ingresos e pagos que daqueles se deriven, e a recadación, investimento e aplicación, en xeral, dos caudais públicos administrados, co fin de que a xestión se axuste ás disposicións aplicables en cada caso.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szCs w:val="22"/>
          <w:lang w:val="gl-ES"/>
        </w:rPr>
        <w:t xml:space="preserve">E, </w:t>
      </w:r>
      <w:r w:rsidRPr="00CA44BF">
        <w:rPr>
          <w:rFonts w:eastAsia="Verdana" w:cs="Verdana"/>
          <w:szCs w:val="22"/>
          <w:u w:val="single"/>
          <w:lang w:val="gl-ES"/>
        </w:rPr>
        <w:t>a función do control financeiro</w:t>
      </w:r>
      <w:r w:rsidRPr="00CA44BF">
        <w:rPr>
          <w:rFonts w:eastAsia="Verdana" w:cs="Verdana"/>
          <w:szCs w:val="22"/>
          <w:lang w:val="gl-ES"/>
        </w:rPr>
        <w:t xml:space="preserve"> será controlar a actividade económico-financeira da Entidade e os seus organismos dependentes mediante as modalidades de control permanente, comprobando que o funcionamento da actividade económico-financeira se axusta ao ordenamento xurídico e a os principios xerais de boa xestión financeira; e da auditoría pública, verificando con posterioridade a dita actividade mediante auditoría de contas, de cumprimento e operativa.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szCs w:val="22"/>
          <w:u w:val="single"/>
          <w:lang w:val="gl-ES"/>
        </w:rPr>
        <w:t>Ambas modalidades</w:t>
      </w:r>
      <w:r w:rsidRPr="00CA44BF">
        <w:rPr>
          <w:rFonts w:eastAsia="Verdana" w:cs="Verdana"/>
          <w:szCs w:val="22"/>
          <w:lang w:val="gl-ES"/>
        </w:rPr>
        <w:t xml:space="preserve"> á súa vez incluirán o control de eficacia, que consistirá en verificar o grado de cumprimento dos obxectivos programados, do custo e rendemento dos servizos de conformidade cos principios de eficiencia, estabilidade orzamentaria e sustentabilidade financeira no uso dos recursos públicos locais.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szCs w:val="22"/>
          <w:lang w:val="gl-ES"/>
        </w:rPr>
        <w:t xml:space="preserve">Igualmente levarase a cabo un </w:t>
      </w:r>
      <w:r w:rsidRPr="00CA44BF">
        <w:rPr>
          <w:rFonts w:eastAsia="Verdana" w:cs="Verdana"/>
          <w:szCs w:val="22"/>
          <w:u w:val="single"/>
          <w:lang w:val="gl-ES"/>
        </w:rPr>
        <w:t>control sobre entidades colaboradoras e beneficiarios de subvencións e axudas concedidas,</w:t>
      </w:r>
      <w:r w:rsidRPr="00CA44BF">
        <w:rPr>
          <w:rFonts w:eastAsia="Verdana" w:cs="Verdana"/>
          <w:szCs w:val="22"/>
          <w:lang w:val="gl-ES"/>
        </w:rPr>
        <w:t xml:space="preserve"> que se atopen financiadas con cargo ao orzamento, de acordo ao establecido na Lei Xeral de Subvencións.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b/>
          <w:szCs w:val="22"/>
          <w:lang w:val="gl-ES"/>
        </w:rPr>
        <w:t>Cuarto.</w:t>
      </w:r>
      <w:r w:rsidRPr="00CA44BF">
        <w:rPr>
          <w:rFonts w:eastAsia="Verdana" w:cs="Verdana"/>
          <w:szCs w:val="22"/>
          <w:lang w:val="gl-ES"/>
        </w:rPr>
        <w:t xml:space="preserve"> Non obstante no que respecta ao control financeiro e a </w:t>
      </w:r>
      <w:r w:rsidRPr="00CA44BF">
        <w:rPr>
          <w:rFonts w:eastAsia="Verdana" w:cs="Verdana"/>
          <w:szCs w:val="22"/>
          <w:u w:val="single"/>
          <w:lang w:val="gl-ES"/>
        </w:rPr>
        <w:t>forma de exercelo</w:t>
      </w:r>
      <w:r w:rsidRPr="00CA44BF">
        <w:rPr>
          <w:rFonts w:eastAsia="Verdana" w:cs="Verdana"/>
          <w:szCs w:val="22"/>
          <w:lang w:val="gl-ES"/>
        </w:rPr>
        <w:t xml:space="preserve">, o Título V do Real Decreto 424/2017, de 28 de abril, polo que se regula o réxime xurídico do control interno nas entidades do Sector Público Local recolle a posibilidade de establecer un </w:t>
      </w:r>
      <w:r w:rsidRPr="00CA44BF">
        <w:rPr>
          <w:rFonts w:eastAsia="Verdana" w:cs="Verdana"/>
          <w:i/>
          <w:szCs w:val="22"/>
          <w:lang w:val="gl-ES"/>
        </w:rPr>
        <w:t xml:space="preserve">réxime de control simplificado </w:t>
      </w:r>
      <w:r w:rsidRPr="00CA44BF">
        <w:rPr>
          <w:rFonts w:eastAsia="Verdana" w:cs="Verdana"/>
          <w:szCs w:val="22"/>
          <w:lang w:val="gl-ES"/>
        </w:rPr>
        <w:t>sempre e cando a entidade local se atope incluída no ámbito de aplicación do modelo simplificado de contabilidade local, artigo 39 do citado Real Decreto 424/2017 e se adopte acordo expreso por parte da Corporación local indicando a aplicación do dito réxime simplificado.</w:t>
      </w:r>
    </w:p>
    <w:p w:rsidR="00270A1A" w:rsidRPr="00156302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szCs w:val="22"/>
          <w:lang w:val="gl-ES"/>
        </w:rPr>
        <w:t xml:space="preserve">Así pois, o Concello de </w:t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</w:r>
      <w:r w:rsidRPr="00CA44BF">
        <w:rPr>
          <w:rFonts w:eastAsia="Verdana" w:cs="Verdana"/>
          <w:szCs w:val="22"/>
          <w:lang w:val="gl-ES"/>
        </w:rPr>
        <w:softHyphen/>
        <w:t xml:space="preserve">______________ élle de aplicación a </w:t>
      </w:r>
      <w:r w:rsidRPr="00CA44BF">
        <w:rPr>
          <w:lang w:val="gl-ES"/>
        </w:rPr>
        <w:t>Instrución do modelo simplificado de contabilidade local</w:t>
      </w:r>
      <w:r>
        <w:rPr>
          <w:lang w:val="gl-ES"/>
        </w:rPr>
        <w:t xml:space="preserve"> aprobada por Orde HAP/1782/2013, de 20 de </w:t>
      </w:r>
      <w:r w:rsidRPr="00156302">
        <w:rPr>
          <w:lang w:val="gl-ES"/>
        </w:rPr>
        <w:t>setembro, ao</w:t>
      </w:r>
      <w:r w:rsidRPr="00156302">
        <w:rPr>
          <w:rFonts w:eastAsia="Verdana" w:cs="Verdana"/>
          <w:szCs w:val="22"/>
          <w:lang w:val="gl-ES"/>
        </w:rPr>
        <w:t xml:space="preserve"> cumprir </w:t>
      </w:r>
      <w:r w:rsidR="00147EB4">
        <w:rPr>
          <w:rFonts w:eastAsia="Verdana" w:cs="Verdana"/>
          <w:szCs w:val="22"/>
          <w:lang w:val="gl-ES"/>
        </w:rPr>
        <w:t>o ámbito de aplicación</w:t>
      </w:r>
      <w:r w:rsidRPr="00156302">
        <w:rPr>
          <w:rFonts w:eastAsia="Verdana" w:cs="Verdana"/>
          <w:szCs w:val="22"/>
          <w:lang w:val="gl-ES"/>
        </w:rPr>
        <w:t xml:space="preserve"> recollido na regra 1</w:t>
      </w:r>
      <w:r w:rsidR="00147EB4">
        <w:rPr>
          <w:rFonts w:eastAsia="Verdana" w:cs="Verdana"/>
          <w:szCs w:val="22"/>
          <w:lang w:val="gl-ES"/>
        </w:rPr>
        <w:t>.a)</w:t>
      </w:r>
      <w:r w:rsidRPr="00156302">
        <w:rPr>
          <w:rFonts w:eastAsia="Verdana" w:cs="Verdana"/>
          <w:szCs w:val="22"/>
          <w:lang w:val="gl-ES"/>
        </w:rPr>
        <w:t xml:space="preserve"> </w:t>
      </w:r>
      <w:r w:rsidR="00147EB4">
        <w:rPr>
          <w:rFonts w:eastAsia="Verdana" w:cs="Verdana"/>
          <w:szCs w:val="22"/>
          <w:lang w:val="gl-ES"/>
        </w:rPr>
        <w:t xml:space="preserve">que establece que será aplicable esta Orde aos municipios cuxo orzamento non exceda de </w:t>
      </w:r>
      <w:r w:rsidR="00147EB4">
        <w:rPr>
          <w:rFonts w:eastAsia="Verdana" w:cs="Verdana"/>
          <w:szCs w:val="22"/>
          <w:lang w:val="gl-ES"/>
        </w:rPr>
        <w:lastRenderedPageBreak/>
        <w:t>300.000,00 €, así como aqueles cuxo orzamento supere este importe pero non exceda de 3.000.000,00 € e cuxa poboación non supere os 5.000 habitantes, sendo o</w:t>
      </w:r>
      <w:r w:rsidR="00270A1A">
        <w:rPr>
          <w:rFonts w:eastAsia="Verdana" w:cs="Verdana"/>
          <w:szCs w:val="22"/>
          <w:lang w:val="gl-ES"/>
        </w:rPr>
        <w:t xml:space="preserve"> orzamento </w:t>
      </w:r>
      <w:r w:rsidR="00147EB4">
        <w:rPr>
          <w:rFonts w:eastAsia="Verdana" w:cs="Verdana"/>
          <w:szCs w:val="22"/>
          <w:lang w:val="gl-ES"/>
        </w:rPr>
        <w:t>deste Concello</w:t>
      </w:r>
      <w:r w:rsidR="00270A1A">
        <w:rPr>
          <w:rFonts w:eastAsia="Verdana" w:cs="Verdana"/>
          <w:szCs w:val="22"/>
          <w:lang w:val="gl-ES"/>
        </w:rPr>
        <w:t xml:space="preserve"> de __________ € </w:t>
      </w:r>
      <w:r w:rsidR="00147EB4">
        <w:rPr>
          <w:rFonts w:eastAsia="Verdana" w:cs="Verdana"/>
          <w:szCs w:val="22"/>
          <w:lang w:val="gl-ES"/>
        </w:rPr>
        <w:t xml:space="preserve"> e cunha poboación de _____ habitantes.</w:t>
      </w:r>
    </w:p>
    <w:p w:rsidR="00CA44BF" w:rsidRPr="00156302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156302">
        <w:rPr>
          <w:rFonts w:eastAsia="Verdana" w:cs="Verdana"/>
          <w:szCs w:val="22"/>
          <w:lang w:val="gl-ES"/>
        </w:rPr>
        <w:t xml:space="preserve">Así logo de ver o anterior, este Concello </w:t>
      </w:r>
      <w:r w:rsidR="00F26EED">
        <w:rPr>
          <w:rFonts w:eastAsia="Verdana" w:cs="Verdana"/>
          <w:szCs w:val="22"/>
          <w:lang w:val="gl-ES"/>
        </w:rPr>
        <w:t>cumpre todos os requisitos necesarios para poder aplicar</w:t>
      </w:r>
      <w:r w:rsidRPr="00156302">
        <w:rPr>
          <w:rFonts w:eastAsia="Verdana" w:cs="Verdana"/>
          <w:szCs w:val="22"/>
          <w:lang w:val="gl-ES"/>
        </w:rPr>
        <w:t xml:space="preserve"> </w:t>
      </w:r>
      <w:r w:rsidRPr="00156302">
        <w:rPr>
          <w:rFonts w:eastAsia="Verdana" w:cs="Verdana"/>
          <w:szCs w:val="22"/>
          <w:u w:val="single"/>
          <w:lang w:val="gl-ES"/>
        </w:rPr>
        <w:t>o modelo de control interno simplificado</w:t>
      </w:r>
      <w:r w:rsidRPr="00156302">
        <w:rPr>
          <w:rFonts w:eastAsia="Verdana" w:cs="Verdana"/>
          <w:szCs w:val="22"/>
          <w:lang w:val="gl-ES"/>
        </w:rPr>
        <w:t xml:space="preserve"> segundo se recolle no artigo 40 do Real decreto 424/2017</w:t>
      </w:r>
      <w:r w:rsidR="00156302" w:rsidRPr="00156302">
        <w:rPr>
          <w:rFonts w:eastAsia="Verdana" w:cs="Verdana"/>
          <w:szCs w:val="22"/>
          <w:lang w:val="gl-ES"/>
        </w:rPr>
        <w:t xml:space="preserve">, non sendo de </w:t>
      </w:r>
      <w:r w:rsidR="00156302">
        <w:rPr>
          <w:lang w:val="gl-ES"/>
        </w:rPr>
        <w:t>aplicación obr</w:t>
      </w:r>
      <w:r w:rsidR="00156302" w:rsidRPr="00156302">
        <w:rPr>
          <w:lang w:val="gl-ES"/>
        </w:rPr>
        <w:t>igatoria a función de control finance</w:t>
      </w:r>
      <w:r w:rsidR="00156302">
        <w:rPr>
          <w:lang w:val="gl-ES"/>
        </w:rPr>
        <w:t>i</w:t>
      </w:r>
      <w:r w:rsidR="00156302" w:rsidRPr="00156302">
        <w:rPr>
          <w:lang w:val="gl-ES"/>
        </w:rPr>
        <w:t>ro, sen prexuízo da aplicación da auditoría de contas nos supostos previstos no artigo 29.3.A) deste Regulamento e de aquelas actuacións cuxa realización polo órgano interventor derive dunha obrigación legal.</w:t>
      </w:r>
    </w:p>
    <w:p w:rsidR="00CA44BF" w:rsidRPr="00CA44BF" w:rsidRDefault="00CA44BF" w:rsidP="00CA44BF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b/>
          <w:bCs/>
          <w:szCs w:val="22"/>
          <w:lang w:val="gl-ES"/>
        </w:rPr>
        <w:t>Quinto.</w:t>
      </w:r>
      <w:r w:rsidRPr="00CA44BF">
        <w:rPr>
          <w:rFonts w:eastAsia="Verdana" w:cs="Verdana"/>
          <w:b/>
          <w:szCs w:val="22"/>
          <w:lang w:val="gl-ES"/>
        </w:rPr>
        <w:t xml:space="preserve"> </w:t>
      </w:r>
      <w:r w:rsidRPr="00CA44BF">
        <w:rPr>
          <w:rFonts w:eastAsia="Verdana" w:cs="Verdana"/>
          <w:szCs w:val="22"/>
          <w:lang w:val="gl-ES"/>
        </w:rPr>
        <w:t xml:space="preserve">Á súa vez, o acordo onde se aproba o réxime de control interno, poderá conter a substitución da fiscalización previa dos dereitos e ingresos da Tesourería da Entidade Local e a dos seus organismos autónomos pola toma de razón en contabilidade e o control posterior (artigo 9 </w:t>
      </w:r>
      <w:r w:rsidRPr="00CA44BF">
        <w:rPr>
          <w:rFonts w:eastAsia="Verdana" w:cs="Verdana"/>
          <w:lang w:val="gl-ES"/>
        </w:rPr>
        <w:t>Real Decreto 424/2017) e así como a aplicación da fiscalización limitada previa de gastos (artigo 13.1 do Real Decreto 424/2017).</w:t>
      </w:r>
    </w:p>
    <w:p w:rsidR="00CA44BF" w:rsidRDefault="00CA44BF" w:rsidP="00270A1A">
      <w:pPr>
        <w:pStyle w:val="NormalWeb"/>
        <w:spacing w:after="120" w:line="240" w:lineRule="auto"/>
        <w:ind w:left="0"/>
        <w:rPr>
          <w:rFonts w:eastAsia="Verdana" w:cs="Verdana"/>
          <w:szCs w:val="22"/>
          <w:lang w:val="gl-ES"/>
        </w:rPr>
      </w:pPr>
      <w:r w:rsidRPr="00CA44BF">
        <w:rPr>
          <w:rFonts w:eastAsia="Verdana" w:cs="Verdana"/>
          <w:b/>
          <w:bCs/>
          <w:szCs w:val="22"/>
          <w:lang w:val="gl-ES"/>
        </w:rPr>
        <w:t>Sexto.</w:t>
      </w:r>
      <w:r w:rsidRPr="00CA44BF">
        <w:rPr>
          <w:rFonts w:eastAsia="Verdana" w:cs="Verdana"/>
          <w:b/>
          <w:szCs w:val="22"/>
          <w:lang w:val="gl-ES"/>
        </w:rPr>
        <w:t xml:space="preserve"> </w:t>
      </w:r>
      <w:r w:rsidR="00270A1A">
        <w:rPr>
          <w:rFonts w:eastAsia="Verdana" w:cs="Verdana"/>
          <w:szCs w:val="22"/>
          <w:lang w:val="gl-ES"/>
        </w:rPr>
        <w:t>Xunto coa aprobación do réxime de control interno indicado, deberase achegar o regulamento de control interno a aplicar polo concello, para o cal será de aplicación o regulado no artigo 49 da Lei 7/1985, de 2 de abril.</w:t>
      </w: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  <w:r>
        <w:rPr>
          <w:rFonts w:ascii="Verdana" w:eastAsia="Verdana" w:hAnsi="Verdana" w:cs="Verdana"/>
          <w:sz w:val="20"/>
          <w:szCs w:val="22"/>
          <w:lang w:eastAsia="es-ES"/>
        </w:rPr>
        <w:t>Por todo anterior, INFORMO</w:t>
      </w: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</w:p>
    <w:p w:rsidR="00CA44BF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  <w:r>
        <w:rPr>
          <w:rFonts w:ascii="Verdana" w:eastAsia="Verdana" w:hAnsi="Verdana" w:cs="Verdana"/>
          <w:sz w:val="20"/>
          <w:szCs w:val="22"/>
          <w:lang w:eastAsia="es-ES"/>
        </w:rPr>
        <w:t>Que polas razóns anteriormente explicadas</w:t>
      </w:r>
      <w:r w:rsidR="002B29A8">
        <w:rPr>
          <w:rFonts w:ascii="Verdana" w:eastAsia="Verdana" w:hAnsi="Verdana" w:cs="Verdana"/>
          <w:sz w:val="20"/>
          <w:szCs w:val="22"/>
          <w:lang w:eastAsia="es-ES"/>
        </w:rPr>
        <w:t xml:space="preserve">, </w:t>
      </w:r>
      <w:r>
        <w:rPr>
          <w:rFonts w:ascii="Verdana" w:eastAsia="Verdana" w:hAnsi="Verdana" w:cs="Verdana"/>
          <w:sz w:val="20"/>
          <w:szCs w:val="22"/>
          <w:lang w:eastAsia="es-ES"/>
        </w:rPr>
        <w:t>infórmase favorablemente</w:t>
      </w:r>
      <w:r w:rsidR="00270A1A">
        <w:rPr>
          <w:rFonts w:ascii="Verdana" w:eastAsia="Verdana" w:hAnsi="Verdana" w:cs="Verdana"/>
          <w:sz w:val="20"/>
          <w:szCs w:val="22"/>
          <w:lang w:eastAsia="es-ES"/>
        </w:rPr>
        <w:t xml:space="preserve"> o</w:t>
      </w:r>
      <w:r w:rsidR="002B29A8">
        <w:rPr>
          <w:rFonts w:ascii="Verdana" w:eastAsia="Verdana" w:hAnsi="Verdana" w:cs="Verdana"/>
          <w:sz w:val="20"/>
          <w:szCs w:val="22"/>
          <w:lang w:eastAsia="es-ES"/>
        </w:rPr>
        <w:t xml:space="preserve"> acordo de adopción do réxime de fiscalización e intervención limitada previa de gastos e obrigacións en réxime de requisitos básicos e a substitución da fiscalización previa de dereitos e ingresos pola toma de razón en contabilidade no Concello de</w:t>
      </w:r>
      <w:r w:rsidR="00270A1A">
        <w:rPr>
          <w:rFonts w:ascii="Verdana" w:eastAsia="Verdana" w:hAnsi="Verdana" w:cs="Verdana"/>
          <w:sz w:val="20"/>
          <w:szCs w:val="22"/>
          <w:lang w:eastAsia="es-ES"/>
        </w:rPr>
        <w:t xml:space="preserve"> __________________________</w:t>
      </w:r>
      <w:r w:rsidR="00CA44BF" w:rsidRPr="00CA44BF">
        <w:rPr>
          <w:rFonts w:ascii="Verdana" w:eastAsia="Verdana" w:hAnsi="Verdana" w:cs="Verdana"/>
          <w:sz w:val="20"/>
          <w:szCs w:val="22"/>
          <w:lang w:eastAsia="es-ES"/>
        </w:rPr>
        <w:t>.</w:t>
      </w:r>
    </w:p>
    <w:p w:rsidR="002B29A8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  <w:r>
        <w:rPr>
          <w:rFonts w:ascii="Verdana" w:eastAsia="Verdana" w:hAnsi="Verdana" w:cs="Verdana"/>
          <w:sz w:val="20"/>
          <w:szCs w:val="22"/>
          <w:lang w:eastAsia="es-ES"/>
        </w:rPr>
        <w:t>Lugar, ___ de ______ de _____</w:t>
      </w: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  <w:r>
        <w:rPr>
          <w:rFonts w:ascii="Verdana" w:eastAsia="Verdana" w:hAnsi="Verdana" w:cs="Verdana"/>
          <w:sz w:val="20"/>
          <w:szCs w:val="22"/>
          <w:lang w:eastAsia="es-ES"/>
        </w:rPr>
        <w:t>O/A secretari@-interverntor@</w:t>
      </w: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</w:p>
    <w:p w:rsidR="00224823" w:rsidRDefault="00224823" w:rsidP="00CA44BF">
      <w:pPr>
        <w:spacing w:after="120"/>
        <w:jc w:val="both"/>
        <w:rPr>
          <w:rFonts w:ascii="Verdana" w:eastAsia="Verdana" w:hAnsi="Verdana" w:cs="Verdana"/>
          <w:sz w:val="20"/>
          <w:szCs w:val="22"/>
          <w:lang w:eastAsia="es-ES"/>
        </w:rPr>
      </w:pPr>
      <w:r>
        <w:rPr>
          <w:rFonts w:ascii="Verdana" w:eastAsia="Verdana" w:hAnsi="Verdana" w:cs="Verdana"/>
          <w:sz w:val="20"/>
          <w:szCs w:val="22"/>
          <w:lang w:eastAsia="es-ES"/>
        </w:rPr>
        <w:t>______________</w:t>
      </w:r>
    </w:p>
    <w:sectPr w:rsidR="00224823" w:rsidSect="00B71341">
      <w:headerReference w:type="default" r:id="rId7"/>
      <w:foot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4D4" w:rsidRDefault="00CF04D4" w:rsidP="00CA44BF">
      <w:r>
        <w:separator/>
      </w:r>
    </w:p>
  </w:endnote>
  <w:endnote w:type="continuationSeparator" w:id="1">
    <w:p w:rsidR="00CF04D4" w:rsidRDefault="00CF04D4" w:rsidP="00CA4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BF" w:rsidRDefault="00CA44BF">
    <w:pPr>
      <w:keepLines/>
      <w:tabs>
        <w:tab w:val="right" w:pos="8440"/>
      </w:tabs>
      <w:jc w:val="right"/>
      <w:rPr>
        <w:rFonts w:ascii="Verdana" w:eastAsia="Verdana" w:hAnsi="Verdana" w:cs="Verdana"/>
        <w:color w:val="000000"/>
        <w:sz w:val="20"/>
        <w:lang w:val="es-ES" w:eastAsia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4D4" w:rsidRDefault="00CF04D4" w:rsidP="00CA44BF">
      <w:r>
        <w:separator/>
      </w:r>
    </w:p>
  </w:footnote>
  <w:footnote w:type="continuationSeparator" w:id="1">
    <w:p w:rsidR="00CF04D4" w:rsidRDefault="00CF04D4" w:rsidP="00CA4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BF" w:rsidRPr="008542D8" w:rsidRDefault="00CA44BF">
    <w:pPr>
      <w:tabs>
        <w:tab w:val="center" w:pos="4252"/>
        <w:tab w:val="right" w:pos="8504"/>
      </w:tabs>
      <w:rPr>
        <w:rFonts w:ascii="Verdana" w:hAnsi="Verdana"/>
        <w:color w:val="333399"/>
        <w:sz w:val="20"/>
      </w:rPr>
    </w:pPr>
  </w:p>
  <w:p w:rsidR="00CA44BF" w:rsidRPr="00C422BA" w:rsidRDefault="00CA44BF" w:rsidP="00CA44BF">
    <w:pPr>
      <w:tabs>
        <w:tab w:val="center" w:pos="4252"/>
        <w:tab w:val="right" w:pos="8504"/>
      </w:tabs>
      <w:jc w:val="right"/>
      <w:rPr>
        <w:rFonts w:ascii="Verdana" w:hAnsi="Verdana"/>
        <w:b/>
        <w:bCs/>
        <w:color w:val="333399"/>
        <w:sz w:val="20"/>
        <w:lang w:val="es-ES"/>
      </w:rPr>
    </w:pPr>
    <w:r>
      <w:rPr>
        <w:rFonts w:ascii="Verdana" w:eastAsia="Verdana" w:hAnsi="Verdana" w:cs="Verdana"/>
        <w:b/>
        <w:color w:val="333399"/>
        <w:sz w:val="20"/>
      </w:rPr>
      <w:t>APROBACIÓN D</w:t>
    </w:r>
    <w:r>
      <w:rPr>
        <w:rFonts w:ascii="Verdana" w:eastAsia="Verdana" w:hAnsi="Verdana" w:cs="Verdana"/>
        <w:b/>
        <w:color w:val="333399"/>
        <w:sz w:val="20"/>
        <w:lang w:val="es-ES"/>
      </w:rPr>
      <w:t>O</w:t>
    </w:r>
    <w:r>
      <w:rPr>
        <w:rFonts w:ascii="Verdana" w:eastAsia="Verdana" w:hAnsi="Verdana" w:cs="Verdana"/>
        <w:b/>
        <w:color w:val="333399"/>
        <w:sz w:val="20"/>
      </w:rPr>
      <w:t xml:space="preserve"> RÉ</w:t>
    </w:r>
    <w:r>
      <w:rPr>
        <w:rFonts w:ascii="Verdana" w:eastAsia="Verdana" w:hAnsi="Verdana" w:cs="Verdana"/>
        <w:b/>
        <w:color w:val="333399"/>
        <w:sz w:val="20"/>
        <w:lang w:val="es-ES"/>
      </w:rPr>
      <w:t>X</w:t>
    </w:r>
    <w:r>
      <w:rPr>
        <w:rFonts w:ascii="Verdana" w:eastAsia="Verdana" w:hAnsi="Verdana" w:cs="Verdana"/>
        <w:b/>
        <w:color w:val="333399"/>
        <w:sz w:val="20"/>
      </w:rPr>
      <w:t xml:space="preserve">IME DE CONTROL </w:t>
    </w:r>
    <w:r>
      <w:rPr>
        <w:rFonts w:ascii="Verdana" w:eastAsia="Verdana" w:hAnsi="Verdana" w:cs="Verdana"/>
        <w:b/>
        <w:color w:val="333399"/>
        <w:sz w:val="20"/>
        <w:lang w:val="es-ES"/>
      </w:rPr>
      <w:t>INTERNO</w:t>
    </w:r>
    <w:r w:rsidR="009907B5">
      <w:rPr>
        <w:rFonts w:ascii="Verdana" w:eastAsia="Verdana" w:hAnsi="Verdana" w:cs="Verdana"/>
        <w:b/>
        <w:color w:val="333399"/>
        <w:sz w:val="20"/>
        <w:lang w:val="es-ES"/>
      </w:rPr>
      <w:t xml:space="preserve"> EN RÉXIME DE REQUISITOS BÁSICOS</w:t>
    </w:r>
  </w:p>
  <w:p w:rsidR="00CA44BF" w:rsidRDefault="00CA44BF" w:rsidP="00CA44BF">
    <w:pPr>
      <w:tabs>
        <w:tab w:val="center" w:pos="4252"/>
        <w:tab w:val="right" w:pos="8504"/>
      </w:tabs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F4A"/>
    <w:multiLevelType w:val="hybridMultilevel"/>
    <w:tmpl w:val="0DA61C4E"/>
    <w:lvl w:ilvl="0" w:tplc="F4A87AF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91C7CA2">
      <w:start w:val="8"/>
      <w:numFmt w:val="bullet"/>
      <w:lvlText w:val="—"/>
      <w:lvlJc w:val="left"/>
      <w:pPr>
        <w:ind w:left="1440" w:hanging="360"/>
      </w:pPr>
      <w:rPr>
        <w:rFonts w:ascii="Verdana" w:eastAsia="Verdana" w:hAnsi="Verdana" w:cs="Verdana" w:hint="default"/>
        <w:sz w:val="20"/>
      </w:rPr>
    </w:lvl>
    <w:lvl w:ilvl="2" w:tplc="5842642E">
      <w:start w:val="1"/>
      <w:numFmt w:val="upperLetter"/>
      <w:lvlText w:val="%3."/>
      <w:lvlJc w:val="left"/>
      <w:pPr>
        <w:ind w:left="2340" w:hanging="360"/>
      </w:pPr>
      <w:rPr>
        <w:rFonts w:ascii="Verdana" w:eastAsia="Verdana" w:hAnsi="Verdana" w:cs="Verdana" w:hint="default"/>
        <w:b/>
        <w:sz w:val="20"/>
      </w:r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28B7"/>
    <w:multiLevelType w:val="hybridMultilevel"/>
    <w:tmpl w:val="536815A0"/>
    <w:lvl w:ilvl="0" w:tplc="04560015">
      <w:start w:val="1"/>
      <w:numFmt w:val="upperLetter"/>
      <w:lvlText w:val="%1."/>
      <w:lvlJc w:val="left"/>
      <w:pPr>
        <w:ind w:left="720" w:hanging="360"/>
      </w:p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C7B"/>
    <w:multiLevelType w:val="hybridMultilevel"/>
    <w:tmpl w:val="ECDEA07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4BF"/>
    <w:rsid w:val="00063A73"/>
    <w:rsid w:val="00147EB4"/>
    <w:rsid w:val="00156302"/>
    <w:rsid w:val="00176D6D"/>
    <w:rsid w:val="001C54F8"/>
    <w:rsid w:val="00224823"/>
    <w:rsid w:val="00270A1A"/>
    <w:rsid w:val="002A3C74"/>
    <w:rsid w:val="002A45B5"/>
    <w:rsid w:val="002B29A8"/>
    <w:rsid w:val="002C706F"/>
    <w:rsid w:val="003E07E2"/>
    <w:rsid w:val="004137BF"/>
    <w:rsid w:val="004D27B8"/>
    <w:rsid w:val="005478BC"/>
    <w:rsid w:val="005753CB"/>
    <w:rsid w:val="00604D28"/>
    <w:rsid w:val="006C0EA8"/>
    <w:rsid w:val="006C6A6B"/>
    <w:rsid w:val="007752FA"/>
    <w:rsid w:val="008B7F4F"/>
    <w:rsid w:val="00920F65"/>
    <w:rsid w:val="00923792"/>
    <w:rsid w:val="00982FDE"/>
    <w:rsid w:val="009907B5"/>
    <w:rsid w:val="00A475F6"/>
    <w:rsid w:val="00A81836"/>
    <w:rsid w:val="00AB0801"/>
    <w:rsid w:val="00AE1C2F"/>
    <w:rsid w:val="00AF5876"/>
    <w:rsid w:val="00B71341"/>
    <w:rsid w:val="00BA30FD"/>
    <w:rsid w:val="00BE57E0"/>
    <w:rsid w:val="00CA44BF"/>
    <w:rsid w:val="00CF04D4"/>
    <w:rsid w:val="00D237F6"/>
    <w:rsid w:val="00D90D57"/>
    <w:rsid w:val="00DC3476"/>
    <w:rsid w:val="00E2634B"/>
    <w:rsid w:val="00E4743B"/>
    <w:rsid w:val="00E91E16"/>
    <w:rsid w:val="00E94506"/>
    <w:rsid w:val="00F2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gl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BF"/>
    <w:pPr>
      <w:spacing w:after="0"/>
      <w:jc w:val="left"/>
    </w:pPr>
    <w:rPr>
      <w:rFonts w:eastAsia="Times New Roman"/>
      <w:lang w:eastAsia="gl-ES"/>
    </w:rPr>
  </w:style>
  <w:style w:type="paragraph" w:styleId="Ttulo6">
    <w:name w:val="heading 6"/>
    <w:basedOn w:val="Normal"/>
    <w:next w:val="Normal"/>
    <w:link w:val="Ttulo6Car"/>
    <w:qFormat/>
    <w:rsid w:val="00CA44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A44BF"/>
    <w:rPr>
      <w:rFonts w:ascii="Calibri" w:eastAsia="Times New Roman" w:hAnsi="Calibri"/>
      <w:b/>
      <w:bCs/>
      <w:sz w:val="22"/>
      <w:szCs w:val="22"/>
    </w:rPr>
  </w:style>
  <w:style w:type="paragraph" w:styleId="NormalWeb">
    <w:name w:val="Normal (Web)"/>
    <w:basedOn w:val="Normal"/>
    <w:rsid w:val="00CA44BF"/>
    <w:pPr>
      <w:spacing w:line="360" w:lineRule="auto"/>
      <w:ind w:left="528"/>
      <w:jc w:val="both"/>
    </w:pPr>
    <w:rPr>
      <w:rFonts w:ascii="Verdana" w:hAnsi="Verdana" w:cs="Arial"/>
      <w:sz w:val="20"/>
      <w:lang w:val="es-ES" w:eastAsia="es-ES"/>
    </w:rPr>
  </w:style>
  <w:style w:type="character" w:styleId="Textoennegrita">
    <w:name w:val="Strong"/>
    <w:uiPriority w:val="22"/>
    <w:qFormat/>
    <w:rsid w:val="00CA44BF"/>
    <w:rPr>
      <w:b/>
      <w:bCs/>
    </w:rPr>
  </w:style>
  <w:style w:type="character" w:styleId="nfasis">
    <w:name w:val="Emphasis"/>
    <w:uiPriority w:val="20"/>
    <w:qFormat/>
    <w:rsid w:val="00CA44BF"/>
    <w:rPr>
      <w:i/>
      <w:iCs/>
    </w:rPr>
  </w:style>
  <w:style w:type="paragraph" w:styleId="Sangra2detindependiente">
    <w:name w:val="Body Text Indent 2"/>
    <w:basedOn w:val="Normal"/>
    <w:link w:val="Sangra2detindependienteCar"/>
    <w:semiHidden/>
    <w:rsid w:val="00CA44BF"/>
    <w:pPr>
      <w:spacing w:line="360" w:lineRule="auto"/>
      <w:jc w:val="both"/>
    </w:pPr>
    <w:rPr>
      <w:rFonts w:ascii="Verdana" w:hAnsi="Verdana"/>
      <w:b/>
      <w:bCs/>
      <w:color w:val="333399"/>
      <w:sz w:val="22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A44BF"/>
    <w:rPr>
      <w:rFonts w:ascii="Verdana" w:eastAsia="Times New Roman" w:hAnsi="Verdana"/>
      <w:b/>
      <w:bCs/>
      <w:color w:val="333399"/>
      <w:sz w:val="22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A44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44BF"/>
    <w:rPr>
      <w:rFonts w:eastAsia="Times New Roman"/>
      <w:lang w:eastAsia="gl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A44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44BF"/>
    <w:rPr>
      <w:rFonts w:eastAsia="Times New Roman"/>
      <w:lang w:eastAsia="gl-ES"/>
    </w:rPr>
  </w:style>
  <w:style w:type="paragraph" w:styleId="Prrafodelista">
    <w:name w:val="List Paragraph"/>
    <w:basedOn w:val="Normal"/>
    <w:uiPriority w:val="34"/>
    <w:qFormat/>
    <w:rsid w:val="00CA4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21</cp:revision>
  <cp:lastPrinted>2019-06-07T07:56:00Z</cp:lastPrinted>
  <dcterms:created xsi:type="dcterms:W3CDTF">2019-05-31T10:41:00Z</dcterms:created>
  <dcterms:modified xsi:type="dcterms:W3CDTF">2019-06-07T10:09:00Z</dcterms:modified>
</cp:coreProperties>
</file>